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F093E" w14:textId="02BA51C1" w:rsidR="0006778F" w:rsidRPr="00760153" w:rsidRDefault="0006778F" w:rsidP="0006778F">
      <w:pPr>
        <w:pStyle w:val="Heading2"/>
        <w:rPr>
          <w:rFonts w:ascii="Trebuchet MS" w:hAnsi="Trebuchet MS"/>
          <w:b/>
          <w:bCs/>
          <w:color w:val="1F3864" w:themeColor="accent1" w:themeShade="80"/>
          <w:sz w:val="24"/>
          <w:szCs w:val="24"/>
        </w:rPr>
      </w:pPr>
      <w:bookmarkStart w:id="0" w:name="_Toc132794912"/>
      <w:bookmarkStart w:id="1" w:name="_Hlk127295740"/>
      <w:bookmarkStart w:id="2" w:name="_Hlk127303165"/>
      <w:proofErr w:type="spellStart"/>
      <w:r w:rsidRPr="00760153">
        <w:rPr>
          <w:rFonts w:ascii="Trebuchet MS" w:hAnsi="Trebuchet MS"/>
          <w:b/>
          <w:bCs/>
          <w:color w:val="1F3864" w:themeColor="accent1" w:themeShade="80"/>
          <w:sz w:val="24"/>
          <w:szCs w:val="24"/>
        </w:rPr>
        <w:t>Anexa</w:t>
      </w:r>
      <w:proofErr w:type="spellEnd"/>
      <w:r w:rsidRPr="00760153">
        <w:rPr>
          <w:rFonts w:ascii="Trebuchet MS" w:hAnsi="Trebuchet MS"/>
          <w:b/>
          <w:bCs/>
          <w:color w:val="1F3864" w:themeColor="accent1" w:themeShade="80"/>
          <w:sz w:val="24"/>
          <w:szCs w:val="24"/>
        </w:rPr>
        <w:t xml:space="preserve"> </w:t>
      </w:r>
      <w:r w:rsidR="002F7168" w:rsidRPr="00760153">
        <w:rPr>
          <w:rFonts w:ascii="Trebuchet MS" w:hAnsi="Trebuchet MS"/>
          <w:b/>
          <w:bCs/>
          <w:color w:val="1F3864" w:themeColor="accent1" w:themeShade="80"/>
          <w:sz w:val="24"/>
          <w:szCs w:val="24"/>
        </w:rPr>
        <w:t>2</w:t>
      </w:r>
      <w:r w:rsidRPr="00760153">
        <w:rPr>
          <w:rFonts w:ascii="Trebuchet MS" w:hAnsi="Trebuchet MS"/>
          <w:b/>
          <w:bCs/>
          <w:color w:val="1F3864" w:themeColor="accent1" w:themeShade="80"/>
          <w:sz w:val="24"/>
          <w:szCs w:val="24"/>
        </w:rPr>
        <w:t xml:space="preserve"> – </w:t>
      </w:r>
      <w:proofErr w:type="spellStart"/>
      <w:r w:rsidRPr="00760153">
        <w:rPr>
          <w:rFonts w:ascii="Trebuchet MS" w:hAnsi="Trebuchet MS"/>
          <w:b/>
          <w:bCs/>
          <w:color w:val="1F3864" w:themeColor="accent1" w:themeShade="80"/>
          <w:sz w:val="24"/>
          <w:szCs w:val="24"/>
        </w:rPr>
        <w:t>Criteriile</w:t>
      </w:r>
      <w:proofErr w:type="spellEnd"/>
      <w:r w:rsidRPr="00760153">
        <w:rPr>
          <w:rFonts w:ascii="Trebuchet MS" w:hAnsi="Trebuchet MS"/>
          <w:b/>
          <w:bCs/>
          <w:color w:val="1F3864" w:themeColor="accent1" w:themeShade="80"/>
          <w:sz w:val="24"/>
          <w:szCs w:val="24"/>
        </w:rPr>
        <w:t xml:space="preserve"> de </w:t>
      </w:r>
      <w:proofErr w:type="spellStart"/>
      <w:r w:rsidRPr="00760153">
        <w:rPr>
          <w:rFonts w:ascii="Trebuchet MS" w:hAnsi="Trebuchet MS"/>
          <w:b/>
          <w:bCs/>
          <w:color w:val="1F3864" w:themeColor="accent1" w:themeShade="80"/>
          <w:sz w:val="24"/>
          <w:szCs w:val="24"/>
        </w:rPr>
        <w:t>evaluare</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şi</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selecţie</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tehnică</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şi</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financiară</w:t>
      </w:r>
      <w:proofErr w:type="spellEnd"/>
      <w:r w:rsidRPr="00760153">
        <w:rPr>
          <w:rFonts w:ascii="Trebuchet MS" w:hAnsi="Trebuchet MS"/>
          <w:b/>
          <w:bCs/>
          <w:color w:val="1F3864" w:themeColor="accent1" w:themeShade="80"/>
          <w:sz w:val="24"/>
          <w:szCs w:val="24"/>
        </w:rPr>
        <w:t xml:space="preserve"> </w:t>
      </w:r>
      <w:proofErr w:type="spellStart"/>
      <w:r w:rsidRPr="00760153">
        <w:rPr>
          <w:rFonts w:ascii="Trebuchet MS" w:hAnsi="Trebuchet MS"/>
          <w:b/>
          <w:bCs/>
          <w:color w:val="1F3864" w:themeColor="accent1" w:themeShade="80"/>
          <w:sz w:val="24"/>
          <w:szCs w:val="24"/>
        </w:rPr>
        <w:t>preliminar</w:t>
      </w:r>
      <w:proofErr w:type="spellEnd"/>
      <w:r w:rsidRPr="00760153">
        <w:rPr>
          <w:rFonts w:ascii="Trebuchet MS" w:hAnsi="Trebuchet MS"/>
          <w:b/>
          <w:bCs/>
          <w:color w:val="1F3864" w:themeColor="accent1" w:themeShade="80"/>
          <w:sz w:val="24"/>
          <w:szCs w:val="24"/>
          <w:lang w:val="ro-RO"/>
        </w:rPr>
        <w:t>ă</w:t>
      </w:r>
      <w:bookmarkEnd w:id="0"/>
    </w:p>
    <w:bookmarkEnd w:id="1"/>
    <w:p w14:paraId="7AF24F36" w14:textId="77777777" w:rsidR="0006778F" w:rsidRPr="00760153" w:rsidRDefault="0006778F" w:rsidP="0006778F">
      <w:pPr>
        <w:rPr>
          <w:color w:val="1F3864" w:themeColor="accent1" w:themeShade="80"/>
        </w:rPr>
      </w:pPr>
    </w:p>
    <w:tbl>
      <w:tblPr>
        <w:tblStyle w:val="TableGrid"/>
        <w:tblW w:w="9475" w:type="dxa"/>
        <w:tblInd w:w="18" w:type="dxa"/>
        <w:tblLook w:val="04A0" w:firstRow="1" w:lastRow="0" w:firstColumn="1" w:lastColumn="0" w:noHBand="0" w:noVBand="1"/>
      </w:tblPr>
      <w:tblGrid>
        <w:gridCol w:w="470"/>
        <w:gridCol w:w="2768"/>
        <w:gridCol w:w="4920"/>
        <w:gridCol w:w="1317"/>
      </w:tblGrid>
      <w:tr w:rsidR="00760153" w:rsidRPr="00760153" w14:paraId="3F40E5F5" w14:textId="77777777" w:rsidTr="003130DE">
        <w:tc>
          <w:tcPr>
            <w:tcW w:w="470" w:type="dxa"/>
          </w:tcPr>
          <w:p w14:paraId="3CD5B398"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bookmarkStart w:id="3" w:name="_Hlk130826571"/>
            <w:bookmarkStart w:id="4" w:name="_Hlk130540465"/>
          </w:p>
        </w:tc>
        <w:tc>
          <w:tcPr>
            <w:tcW w:w="2768" w:type="dxa"/>
          </w:tcPr>
          <w:p w14:paraId="6D579420" w14:textId="77777777" w:rsidR="0006778F" w:rsidRPr="00760153" w:rsidRDefault="0006778F" w:rsidP="00016C34">
            <w:pPr>
              <w:tabs>
                <w:tab w:val="left" w:pos="-540"/>
              </w:tabs>
              <w:spacing w:after="160" w:line="259" w:lineRule="auto"/>
              <w:ind w:right="-630"/>
              <w:jc w:val="center"/>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Criterii</w:t>
            </w:r>
          </w:p>
        </w:tc>
        <w:tc>
          <w:tcPr>
            <w:tcW w:w="4920" w:type="dxa"/>
          </w:tcPr>
          <w:p w14:paraId="53DA7B85" w14:textId="77777777" w:rsidR="0006778F" w:rsidRPr="00760153" w:rsidRDefault="0006778F" w:rsidP="00016C34">
            <w:pPr>
              <w:tabs>
                <w:tab w:val="left" w:pos="-540"/>
              </w:tabs>
              <w:ind w:right="-630"/>
              <w:jc w:val="center"/>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Elemente verificate</w:t>
            </w:r>
          </w:p>
        </w:tc>
        <w:tc>
          <w:tcPr>
            <w:tcW w:w="1317" w:type="dxa"/>
          </w:tcPr>
          <w:p w14:paraId="7FC18CBB"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DA/NU/NA</w:t>
            </w:r>
          </w:p>
        </w:tc>
      </w:tr>
      <w:bookmarkEnd w:id="3"/>
      <w:tr w:rsidR="00760153" w:rsidRPr="00760153" w14:paraId="2529480B" w14:textId="77777777" w:rsidTr="003130DE">
        <w:tc>
          <w:tcPr>
            <w:tcW w:w="470" w:type="dxa"/>
          </w:tcPr>
          <w:p w14:paraId="37C2C3F1"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1</w:t>
            </w:r>
          </w:p>
        </w:tc>
        <w:tc>
          <w:tcPr>
            <w:tcW w:w="2768" w:type="dxa"/>
          </w:tcPr>
          <w:p w14:paraId="45E3C985" w14:textId="77777777" w:rsidR="0006778F" w:rsidRPr="00760153" w:rsidRDefault="0006778F" w:rsidP="003130DE">
            <w:pPr>
              <w:tabs>
                <w:tab w:val="left" w:pos="-540"/>
              </w:tabs>
              <w:spacing w:after="160" w:line="259" w:lineRule="auto"/>
              <w:ind w:right="68"/>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4EB6CC68"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55CC8A7F"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p w14:paraId="22EA0660"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p>
          <w:p w14:paraId="07035B5C"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p>
        </w:tc>
        <w:tc>
          <w:tcPr>
            <w:tcW w:w="4920" w:type="dxa"/>
          </w:tcPr>
          <w:p w14:paraId="26D47AAA" w14:textId="77777777" w:rsidR="0006778F" w:rsidRPr="00760153"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Cererea de finanțare este însoțită de toate anexele solicitate in Ghidul Solicitantului – Condiții Specifice și Condiții Generale, dacă este cazul.</w:t>
            </w:r>
          </w:p>
          <w:p w14:paraId="6362909A" w14:textId="77777777" w:rsidR="0006778F" w:rsidRPr="00760153"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Solicitantul și partenerii fac  parte  din categoriile de beneficiari eligibili menţionate în Ghidul Solicitantului -Condiții  Specifice și domeniul/ domeniile de activitate ale acestora sunt corespunzătoare activităților pe care le vor desfășura in proiect.</w:t>
            </w:r>
          </w:p>
          <w:p w14:paraId="249558E2" w14:textId="77777777" w:rsidR="00C76A0B" w:rsidRPr="00760153" w:rsidRDefault="0006778F" w:rsidP="00A1126F">
            <w:pPr>
              <w:tabs>
                <w:tab w:val="left" w:pos="-540"/>
              </w:tabs>
              <w:ind w:right="5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Selecţia partenerului/ partenerilor  s-a realizat cu</w:t>
            </w:r>
            <w:r w:rsidRPr="00760153">
              <w:rPr>
                <w:rFonts w:ascii="Trebuchet MS" w:eastAsia="Calibri" w:hAnsi="Trebuchet MS" w:cs="Times New Roman"/>
                <w:color w:val="1F3864" w:themeColor="accent1" w:themeShade="80"/>
                <w:w w:val="105"/>
                <w:lang w:val="ro-RO"/>
              </w:rPr>
              <w:tab/>
              <w:t xml:space="preserve">respectarea legislaţiei europene şi naţionale, </w:t>
            </w:r>
          </w:p>
          <w:p w14:paraId="44DF7EB6" w14:textId="186F898E" w:rsidR="0006778F" w:rsidRPr="00760153" w:rsidRDefault="00C76A0B" w:rsidP="00A1126F">
            <w:pPr>
              <w:tabs>
                <w:tab w:val="left" w:pos="-540"/>
              </w:tabs>
              <w:ind w:right="5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E</w:t>
            </w:r>
            <w:r w:rsidR="0006778F" w:rsidRPr="00760153">
              <w:rPr>
                <w:rFonts w:ascii="Trebuchet MS" w:eastAsia="Calibri" w:hAnsi="Trebuchet MS" w:cs="Times New Roman"/>
                <w:color w:val="1F3864" w:themeColor="accent1" w:themeShade="80"/>
                <w:w w:val="105"/>
                <w:lang w:val="ro-RO"/>
              </w:rPr>
              <w:t>ste prezentată motivarea selectării și rolul concret al fiecărui partener / fiecărui tip de parteneri și fiecare dintre parteneri, acolo unde este cazul, este implicat   în cel puţin o activitate relevantă.</w:t>
            </w:r>
            <w:r w:rsidR="0006778F" w:rsidRPr="00760153">
              <w:rPr>
                <w:rFonts w:ascii="Trebuchet MS" w:eastAsia="Calibri" w:hAnsi="Trebuchet MS" w:cs="Times New Roman"/>
                <w:color w:val="1F3864" w:themeColor="accent1" w:themeShade="80"/>
                <w:w w:val="105"/>
                <w:lang w:val="ro-RO"/>
              </w:rPr>
              <w:tab/>
            </w:r>
          </w:p>
          <w:p w14:paraId="18C6C08C" w14:textId="77777777" w:rsidR="0006778F" w:rsidRDefault="0006778F" w:rsidP="00A1126F">
            <w:pPr>
              <w:tabs>
                <w:tab w:val="left" w:pos="-540"/>
              </w:tabs>
              <w:ind w:right="12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Beneficiarul (Solicitant unic, sau Parteneriatul (in cazul proiectelor implementate in parteneriat), demonstrează capacitate financiară, conform algoritmului.</w:t>
            </w:r>
          </w:p>
          <w:p w14:paraId="4D0CE6A1" w14:textId="2BFAF009" w:rsidR="00C8790B" w:rsidRPr="00760153" w:rsidRDefault="00C8790B" w:rsidP="00A1126F">
            <w:pPr>
              <w:tabs>
                <w:tab w:val="left" w:pos="-540"/>
              </w:tabs>
              <w:ind w:right="120"/>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In cazul proiectelor ce se implementează la nivelul mai multor localități sunt prezentate acorduri de colaborare cu UAT-urile sau dupa caz DAS -urile din toate localitățile vizate de proeict.</w:t>
            </w:r>
          </w:p>
        </w:tc>
        <w:tc>
          <w:tcPr>
            <w:tcW w:w="1317" w:type="dxa"/>
          </w:tcPr>
          <w:p w14:paraId="02F89884" w14:textId="77777777" w:rsidR="0006778F" w:rsidRPr="00760153"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p w14:paraId="15FFB442" w14:textId="77777777" w:rsidR="0006778F" w:rsidRPr="00760153" w:rsidRDefault="0006778F" w:rsidP="003130DE">
            <w:pPr>
              <w:tabs>
                <w:tab w:val="left" w:pos="-540"/>
              </w:tabs>
              <w:ind w:right="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p>
          <w:p w14:paraId="0DB2F337"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ab/>
            </w:r>
          </w:p>
        </w:tc>
      </w:tr>
      <w:tr w:rsidR="00760153" w:rsidRPr="00760153" w14:paraId="0C51C1EB" w14:textId="77777777" w:rsidTr="00760153">
        <w:trPr>
          <w:trHeight w:val="558"/>
        </w:trPr>
        <w:tc>
          <w:tcPr>
            <w:tcW w:w="470" w:type="dxa"/>
          </w:tcPr>
          <w:p w14:paraId="3BBD9747"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2</w:t>
            </w:r>
          </w:p>
        </w:tc>
        <w:tc>
          <w:tcPr>
            <w:tcW w:w="2768" w:type="dxa"/>
          </w:tcPr>
          <w:p w14:paraId="7686E80F" w14:textId="3636D360" w:rsidR="0006778F" w:rsidRPr="00760153" w:rsidRDefault="0006778F"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se încadrează</w:t>
            </w:r>
            <w:r w:rsidR="006952AF" w:rsidRPr="00760153">
              <w:rPr>
                <w:rFonts w:ascii="Trebuchet MS" w:eastAsia="Calibri" w:hAnsi="Trebuchet MS" w:cs="Times New Roman"/>
                <w:color w:val="1F3864" w:themeColor="accent1" w:themeShade="80"/>
                <w:w w:val="105"/>
                <w:lang w:val="ro-RO"/>
              </w:rPr>
              <w:t xml:space="preserve"> </w:t>
            </w:r>
            <w:r w:rsidRPr="00760153">
              <w:rPr>
                <w:rFonts w:ascii="Trebuchet MS" w:eastAsia="Calibri" w:hAnsi="Trebuchet MS" w:cs="Times New Roman"/>
                <w:color w:val="1F3864" w:themeColor="accent1" w:themeShade="80"/>
                <w:w w:val="105"/>
                <w:lang w:val="ro-RO"/>
              </w:rPr>
              <w:t>în programul operațional, conform specificului de finanțare si conform</w:t>
            </w:r>
          </w:p>
          <w:p w14:paraId="308175F8" w14:textId="77777777" w:rsidR="0006778F" w:rsidRPr="00760153" w:rsidRDefault="0006778F"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lastRenderedPageBreak/>
              <w:t>Ghidului Solicitantului - Condiții Specifice?</w:t>
            </w:r>
          </w:p>
          <w:p w14:paraId="719781EF" w14:textId="77777777" w:rsidR="0006778F" w:rsidRPr="00760153" w:rsidRDefault="0006778F"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p>
        </w:tc>
        <w:tc>
          <w:tcPr>
            <w:tcW w:w="4920" w:type="dxa"/>
          </w:tcPr>
          <w:p w14:paraId="0D16354C" w14:textId="77777777" w:rsidR="0006778F"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lastRenderedPageBreak/>
              <w:t>Proiectul</w:t>
            </w:r>
            <w:r w:rsidRPr="00760153">
              <w:rPr>
                <w:rFonts w:ascii="Trebuchet MS" w:eastAsia="Calibri" w:hAnsi="Trebuchet MS" w:cs="Times New Roman"/>
                <w:color w:val="1F3864" w:themeColor="accent1" w:themeShade="80"/>
                <w:w w:val="105"/>
                <w:lang w:val="ro-RO"/>
              </w:rPr>
              <w:tab/>
              <w:t>este</w:t>
            </w:r>
            <w:r w:rsidRPr="00760153">
              <w:rPr>
                <w:rFonts w:ascii="Trebuchet MS" w:eastAsia="Calibri" w:hAnsi="Trebuchet MS" w:cs="Times New Roman"/>
                <w:color w:val="1F3864" w:themeColor="accent1" w:themeShade="80"/>
                <w:w w:val="105"/>
                <w:lang w:val="ro-RO"/>
              </w:rPr>
              <w:tab/>
              <w:t>încadrat în prioritatea, obiectivul specific, indicatorii de realizare imediată şi de rezultat, rezultate, grup tinta, durată, conform P</w:t>
            </w:r>
            <w:r w:rsidR="00C76A0B" w:rsidRPr="00760153">
              <w:rPr>
                <w:rFonts w:ascii="Trebuchet MS" w:eastAsia="Calibri" w:hAnsi="Trebuchet MS" w:cs="Times New Roman"/>
                <w:color w:val="1F3864" w:themeColor="accent1" w:themeShade="80"/>
                <w:w w:val="105"/>
                <w:lang w:val="ro-RO"/>
              </w:rPr>
              <w:t>o</w:t>
            </w:r>
            <w:r w:rsidRPr="00760153">
              <w:rPr>
                <w:rFonts w:ascii="Trebuchet MS" w:eastAsia="Calibri" w:hAnsi="Trebuchet MS" w:cs="Times New Roman"/>
                <w:color w:val="1F3864" w:themeColor="accent1" w:themeShade="80"/>
                <w:w w:val="105"/>
                <w:lang w:val="ro-RO"/>
              </w:rPr>
              <w:t>IDS şi conform Ghidului Solicitantului - Condiții Specifice.</w:t>
            </w:r>
          </w:p>
          <w:p w14:paraId="7B5EA2E3" w14:textId="77777777" w:rsidR="00391D33" w:rsidRDefault="00391D33" w:rsidP="003130DE">
            <w:pPr>
              <w:tabs>
                <w:tab w:val="left" w:pos="-540"/>
              </w:tabs>
              <w:ind w:right="132"/>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lastRenderedPageBreak/>
              <w:t>Proiectul se implementeaza la nivelul unui singur județ</w:t>
            </w:r>
            <w:r w:rsidR="00C8790B">
              <w:rPr>
                <w:rFonts w:ascii="Trebuchet MS" w:eastAsia="Calibri" w:hAnsi="Trebuchet MS" w:cs="Times New Roman"/>
                <w:color w:val="1F3864" w:themeColor="accent1" w:themeShade="80"/>
                <w:w w:val="105"/>
                <w:lang w:val="ro-RO"/>
              </w:rPr>
              <w:t>/sector al Municipiului Bucuresti;</w:t>
            </w:r>
          </w:p>
          <w:p w14:paraId="4463577B" w14:textId="77777777" w:rsidR="00C8790B" w:rsidRDefault="00C8790B" w:rsidP="00C8790B">
            <w:pPr>
              <w:tabs>
                <w:tab w:val="left" w:pos="-540"/>
              </w:tabs>
              <w:ind w:right="132"/>
              <w:jc w:val="both"/>
              <w:rPr>
                <w:rFonts w:ascii="Trebuchet MS" w:eastAsia="Calibri" w:hAnsi="Trebuchet MS" w:cs="Times New Roman"/>
                <w:color w:val="1F3864" w:themeColor="accent1" w:themeShade="80"/>
                <w:w w:val="105"/>
                <w:lang w:val="ro-RO"/>
              </w:rPr>
            </w:pPr>
            <w:r w:rsidRPr="00C8790B">
              <w:rPr>
                <w:rFonts w:ascii="Trebuchet MS" w:eastAsia="Calibri" w:hAnsi="Trebuchet MS" w:cs="Times New Roman"/>
                <w:color w:val="1F3864" w:themeColor="accent1" w:themeShade="80"/>
                <w:w w:val="105"/>
                <w:lang w:val="ro-RO"/>
              </w:rPr>
              <w:t>In functie de tipologia activităților implementate proiectului  in proiect vor avea in mod obligatoriu calitatea de solicitant/partener cel putin următoarele entități publice:</w:t>
            </w:r>
          </w:p>
          <w:p w14:paraId="02A4FCD6" w14:textId="77777777" w:rsidR="0045520D" w:rsidRPr="0045520D" w:rsidRDefault="0045520D" w:rsidP="0045520D">
            <w:pPr>
              <w:pStyle w:val="ListParagraph"/>
              <w:numPr>
                <w:ilvl w:val="0"/>
                <w:numId w:val="17"/>
              </w:numPr>
              <w:spacing w:before="120" w:after="120" w:line="259" w:lineRule="auto"/>
              <w:jc w:val="both"/>
              <w:rPr>
                <w:rFonts w:ascii="Trebuchet MS" w:eastAsia="Calibri" w:hAnsi="Trebuchet MS" w:cs="Times New Roman"/>
                <w:color w:val="1F3864" w:themeColor="accent1" w:themeShade="80"/>
                <w:w w:val="105"/>
                <w:lang w:val="ro-RO"/>
              </w:rPr>
            </w:pPr>
            <w:r w:rsidRPr="0045520D">
              <w:rPr>
                <w:rFonts w:ascii="Trebuchet MS" w:eastAsia="Calibri" w:hAnsi="Trebuchet MS" w:cs="Times New Roman"/>
                <w:color w:val="1F3864" w:themeColor="accent1" w:themeShade="80"/>
                <w:w w:val="105"/>
                <w:lang w:val="ro-RO"/>
              </w:rPr>
              <w:t>Pentru proiectele ce vizeaza exclusiv măsuri de prevenire a separării copilului de familie – minim o Directie de Asistenta Sociala cu personalitate juridică de la nivelul UAT sau o Autoritate publică locală (in cazul in care UAT este comună sau, după caz, dacă la nivelul orașului sau municipiului nu este înființată o Direcție de Asistență Socială cu personalitate juridica distincta) - de la nivelul localității vizate de proeict sau de la nivelul uneia dintre localitățile vizate de proeict în cazul în care proiectul se implementează în mai multe localități;</w:t>
            </w:r>
          </w:p>
          <w:p w14:paraId="0E844203" w14:textId="77777777" w:rsidR="0045520D" w:rsidRPr="0045520D" w:rsidRDefault="0045520D" w:rsidP="0045520D">
            <w:pPr>
              <w:pStyle w:val="ListParagraph"/>
              <w:numPr>
                <w:ilvl w:val="0"/>
                <w:numId w:val="17"/>
              </w:numPr>
              <w:spacing w:before="120" w:after="120" w:line="259" w:lineRule="auto"/>
              <w:jc w:val="both"/>
              <w:rPr>
                <w:rFonts w:ascii="Trebuchet MS" w:eastAsia="Calibri" w:hAnsi="Trebuchet MS" w:cs="Times New Roman"/>
                <w:color w:val="1F3864" w:themeColor="accent1" w:themeShade="80"/>
                <w:w w:val="105"/>
                <w:lang w:val="ro-RO"/>
              </w:rPr>
            </w:pPr>
            <w:r w:rsidRPr="0045520D">
              <w:rPr>
                <w:rFonts w:ascii="Trebuchet MS" w:eastAsia="Calibri" w:hAnsi="Trebuchet MS" w:cs="Times New Roman"/>
                <w:color w:val="1F3864" w:themeColor="accent1" w:themeShade="80"/>
                <w:w w:val="105"/>
                <w:lang w:val="ro-RO"/>
              </w:rPr>
              <w:t xml:space="preserve">Pentru proeictele ce vizeaza inclusiv măsuri de reintegrare a copilului in familie este obligatorie prezenta în parteneriat a Direcției Generale de Asistență Socială și Protecție a Copilului din județul/sectorul în care se implementează proiectul. In cazul proiectelor ce vizează inclusiv măsuri de reintegrare a copilului in familie nu este obligatorie includerea în parteneriat a unei Directii de Asistenta Sociala cu personalitate juridică de la nivelul UAT sau a unei Autorități publice locale (in cazul in care UAT este comună sau, după caz, dacă la nivelul orașului sau municipiului nu este înființată o Direcție de Asistență Socială cu personalitate juridica distincta) cu condiția să fie încheiate Convenții de colaborare cu aceste </w:t>
            </w:r>
            <w:r w:rsidRPr="0045520D">
              <w:rPr>
                <w:rFonts w:ascii="Trebuchet MS" w:eastAsia="Calibri" w:hAnsi="Trebuchet MS" w:cs="Times New Roman"/>
                <w:color w:val="1F3864" w:themeColor="accent1" w:themeShade="80"/>
                <w:w w:val="105"/>
                <w:lang w:val="ro-RO"/>
              </w:rPr>
              <w:lastRenderedPageBreak/>
              <w:t>tipuri de entități publice, în conformitate cu prevederile anexei 8 la prezentul Ghid al Solicitantului Condiții Specifice  prin care Direcțiile de Asistență Socială sau UAT (dupa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67A91FEA" w14:textId="77777777" w:rsidR="0045520D" w:rsidRDefault="0045520D" w:rsidP="0045520D">
            <w:pPr>
              <w:pStyle w:val="ListParagraph"/>
              <w:numPr>
                <w:ilvl w:val="0"/>
                <w:numId w:val="17"/>
              </w:numPr>
              <w:spacing w:before="120" w:after="120" w:line="259" w:lineRule="auto"/>
              <w:jc w:val="both"/>
              <w:rPr>
                <w:rFonts w:ascii="Trebuchet MS" w:eastAsia="Calibri" w:hAnsi="Trebuchet MS" w:cs="Times New Roman"/>
                <w:color w:val="1F3864" w:themeColor="accent1" w:themeShade="80"/>
                <w:w w:val="105"/>
                <w:lang w:val="ro-RO"/>
              </w:rPr>
            </w:pPr>
            <w:r w:rsidRPr="0045520D">
              <w:rPr>
                <w:rFonts w:ascii="Trebuchet MS" w:eastAsia="Calibri" w:hAnsi="Trebuchet MS" w:cs="Times New Roman"/>
                <w:color w:val="1F3864" w:themeColor="accent1" w:themeShade="80"/>
                <w:w w:val="105"/>
                <w:lang w:val="ro-RO"/>
              </w:rPr>
              <w:t>În cazul proiectelor ce vizeaza implementarea măsurilor de sprijin la nivelul mai multor localități, în cazul în care Directia de Asistență Sociala cu personalitate juridica proprie sau UAT -ul (în cazul comunelor și orașelor ce nu au înființată Direcție de Asistență Socilă cu personalitate juridica proprie) nu sunt membre a parteneriatului se va încheia o Convenție de colaborare, în conformitate cu modelul recomandat în anexa 8 la prezentul Ghid al Solicitantului Condiții Specifice, pentru toate localitățile vizate de implementarea proeictului. Prin aceasta convenție de colaborare Direcțiile de Asistență Socială sau UAT (dupa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2CA64B56" w14:textId="24F50AB9" w:rsidR="0045520D" w:rsidRPr="0045520D" w:rsidRDefault="0045520D" w:rsidP="0045520D">
            <w:pPr>
              <w:pStyle w:val="ListParagraph"/>
              <w:numPr>
                <w:ilvl w:val="0"/>
                <w:numId w:val="17"/>
              </w:numPr>
              <w:spacing w:before="120" w:after="120" w:line="259" w:lineRule="auto"/>
              <w:jc w:val="both"/>
              <w:rPr>
                <w:rFonts w:ascii="Trebuchet MS" w:eastAsia="Calibri" w:hAnsi="Trebuchet MS" w:cs="Times New Roman"/>
                <w:color w:val="1F3864" w:themeColor="accent1" w:themeShade="80"/>
                <w:w w:val="105"/>
                <w:lang w:val="ro-RO"/>
              </w:rPr>
            </w:pPr>
            <w:r w:rsidRPr="0045520D">
              <w:rPr>
                <w:rFonts w:ascii="Trebuchet MS" w:eastAsia="Calibri" w:hAnsi="Trebuchet MS" w:cs="Times New Roman"/>
                <w:color w:val="1F3864" w:themeColor="accent1" w:themeShade="80"/>
                <w:w w:val="105"/>
                <w:lang w:val="ro-RO"/>
              </w:rPr>
              <w:t xml:space="preserve">În cazul proiectelor ce vizează implementarea măsurilor de sprijin la nivelul unui întreg județ pentru asigurarea eficienței procesului de identificare a copiilor aflați în risc de </w:t>
            </w:r>
            <w:r w:rsidRPr="0045520D">
              <w:rPr>
                <w:rFonts w:ascii="Trebuchet MS" w:eastAsia="Calibri" w:hAnsi="Trebuchet MS" w:cs="Times New Roman"/>
                <w:color w:val="1F3864" w:themeColor="accent1" w:themeShade="80"/>
                <w:w w:val="105"/>
                <w:lang w:val="ro-RO"/>
              </w:rPr>
              <w:lastRenderedPageBreak/>
              <w:t>separare de familie, este obligatorie ca la Convenția de colaborare, realizată în conformitate cu anexa 8 la prezentul Ghid al Solicitantului Condiții Specifice, să adere cel puțin 5 autorități publice locale cu atribuții în identificarea copiilor aflați în risc de părăsire a familiei (Direcții de Asistență Socială cu personalitate juridică proprie sau Autoritate publică locală (in cazul in care UAT este comună sau, după caz, dacă la nivelul orașului sau municipiului nu este înființată o Direcție de Asistență Socială cu personalitate juridica distincta). Prin aceasta convenție de colaborare Direcțiile de Asistență Socială sau UAT (dupa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2F13C3E6" w14:textId="06519807" w:rsidR="00C8790B" w:rsidRPr="00C8790B" w:rsidRDefault="00C8790B" w:rsidP="00C8790B">
            <w:pPr>
              <w:tabs>
                <w:tab w:val="left" w:pos="-540"/>
              </w:tabs>
              <w:ind w:right="132"/>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t>Acordul de parteneriat si daca este cazul Acordul de colaborare asigura premisele identificării numarului de copii asumați pentru a face parte din grupul tinta al proiectului.</w:t>
            </w:r>
          </w:p>
        </w:tc>
        <w:tc>
          <w:tcPr>
            <w:tcW w:w="1317" w:type="dxa"/>
          </w:tcPr>
          <w:p w14:paraId="244F2BD8"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760153" w:rsidRPr="00760153" w14:paraId="56D76C60" w14:textId="77777777" w:rsidTr="003130DE">
        <w:tc>
          <w:tcPr>
            <w:tcW w:w="470" w:type="dxa"/>
          </w:tcPr>
          <w:p w14:paraId="3789184B"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lastRenderedPageBreak/>
              <w:t>3</w:t>
            </w:r>
          </w:p>
        </w:tc>
        <w:tc>
          <w:tcPr>
            <w:tcW w:w="2768" w:type="dxa"/>
          </w:tcPr>
          <w:p w14:paraId="2175D51E" w14:textId="77777777" w:rsidR="0006778F" w:rsidRPr="00760153" w:rsidRDefault="0006778F" w:rsidP="003130DE">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Bugetul   proiectului   respectă</w:t>
            </w:r>
            <w:r w:rsidRPr="00760153">
              <w:rPr>
                <w:rFonts w:ascii="Calibri" w:eastAsia="Calibri" w:hAnsi="Calibri" w:cs="Times New Roman"/>
                <w:color w:val="1F3864" w:themeColor="accent1" w:themeShade="80"/>
              </w:rPr>
              <w:t xml:space="preserve"> </w:t>
            </w:r>
            <w:r w:rsidRPr="00760153">
              <w:rPr>
                <w:rFonts w:ascii="Trebuchet MS" w:eastAsia="Calibri" w:hAnsi="Trebuchet MS" w:cs="Times New Roman"/>
                <w:color w:val="1F3864" w:themeColor="accent1" w:themeShade="80"/>
                <w:w w:val="105"/>
                <w:lang w:val="ro-RO"/>
              </w:rPr>
              <w:t>prevederile privind eligibilitatea cheltuielilor si regulile de stabilire a acestora, conform prevederilor Ghidului Solicitantului - Condiții Specifice?</w:t>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p>
        </w:tc>
        <w:tc>
          <w:tcPr>
            <w:tcW w:w="4920" w:type="dxa"/>
          </w:tcPr>
          <w:p w14:paraId="407DB637" w14:textId="6226C27E" w:rsidR="0006778F" w:rsidRPr="00760153"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Valoarea  asistenței  financiare nerambursabile solicitate se înscri</w:t>
            </w:r>
            <w:r w:rsidR="00C76A0B" w:rsidRPr="00760153">
              <w:rPr>
                <w:rFonts w:ascii="Trebuchet MS" w:eastAsia="Calibri" w:hAnsi="Trebuchet MS" w:cs="Times New Roman"/>
                <w:color w:val="1F3864" w:themeColor="accent1" w:themeShade="80"/>
                <w:w w:val="105"/>
                <w:lang w:val="ro-RO"/>
              </w:rPr>
              <w:t>e</w:t>
            </w:r>
            <w:r w:rsidRPr="00760153">
              <w:rPr>
                <w:rFonts w:ascii="Trebuchet MS" w:eastAsia="Calibri" w:hAnsi="Trebuchet MS" w:cs="Times New Roman"/>
                <w:color w:val="1F3864" w:themeColor="accent1" w:themeShade="80"/>
                <w:w w:val="105"/>
                <w:lang w:val="ro-RO"/>
              </w:rPr>
              <w:t xml:space="preserve"> în limitele stabilite în Ghidul Solicitantului - Condiții Specifice.</w:t>
            </w:r>
          </w:p>
          <w:p w14:paraId="31C43F69" w14:textId="191D5A69" w:rsidR="0006778F" w:rsidRPr="00760153" w:rsidRDefault="0006778F"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Bugetul respectă rata de cofinanţare (FSE +, buget național și contribuție proprie).</w:t>
            </w:r>
          </w:p>
          <w:p w14:paraId="50C17A68" w14:textId="77777777" w:rsidR="000E327B" w:rsidRPr="00760153" w:rsidRDefault="000E327B" w:rsidP="003130DE">
            <w:pPr>
              <w:tabs>
                <w:tab w:val="left" w:pos="-540"/>
              </w:tabs>
              <w:ind w:right="13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Bugetul proiectului respecta ratele forfetare stabilite în Ghidul Solicitantului - Condiții Specifice.</w:t>
            </w:r>
          </w:p>
          <w:p w14:paraId="2981CAC3" w14:textId="22EBDA9E" w:rsidR="00F44D89" w:rsidRPr="00760153" w:rsidRDefault="00F44D89" w:rsidP="00C76A0B">
            <w:pPr>
              <w:tabs>
                <w:tab w:val="left" w:pos="-540"/>
              </w:tabs>
              <w:ind w:right="132"/>
              <w:jc w:val="both"/>
              <w:rPr>
                <w:rFonts w:ascii="Trebuchet MS" w:eastAsia="Calibri" w:hAnsi="Trebuchet MS" w:cs="Times New Roman"/>
                <w:color w:val="1F3864" w:themeColor="accent1" w:themeShade="80"/>
                <w:w w:val="105"/>
                <w:lang w:val="ro-RO"/>
              </w:rPr>
            </w:pPr>
            <w:r>
              <w:rPr>
                <w:rFonts w:ascii="Trebuchet MS" w:eastAsia="Calibri" w:hAnsi="Trebuchet MS" w:cs="Times New Roman"/>
                <w:color w:val="1F3864" w:themeColor="accent1" w:themeShade="80"/>
                <w:w w:val="105"/>
                <w:lang w:val="ro-RO"/>
              </w:rPr>
              <w:lastRenderedPageBreak/>
              <w:t>Valoarea bugetata pentru activitatile de baza definite conform Ghidului Solicitantului Conditii Specifice reprezinta minim 50% din totalul cheltuielilor eligibile bugetate.</w:t>
            </w:r>
          </w:p>
        </w:tc>
        <w:tc>
          <w:tcPr>
            <w:tcW w:w="1317" w:type="dxa"/>
          </w:tcPr>
          <w:p w14:paraId="734C72A7" w14:textId="77777777"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p>
        </w:tc>
      </w:tr>
      <w:tr w:rsidR="00760153" w:rsidRPr="00760153" w14:paraId="79F677A9" w14:textId="77777777" w:rsidTr="003130DE">
        <w:tc>
          <w:tcPr>
            <w:tcW w:w="470" w:type="dxa"/>
          </w:tcPr>
          <w:p w14:paraId="21657485" w14:textId="77777777" w:rsidR="0006778F" w:rsidRPr="00760153"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4</w:t>
            </w:r>
          </w:p>
        </w:tc>
        <w:tc>
          <w:tcPr>
            <w:tcW w:w="2768" w:type="dxa"/>
          </w:tcPr>
          <w:p w14:paraId="4C33DD65" w14:textId="75046974" w:rsidR="0006778F" w:rsidRPr="00760153" w:rsidRDefault="0006778F" w:rsidP="003130DE">
            <w:pPr>
              <w:tabs>
                <w:tab w:val="left" w:pos="-540"/>
              </w:tabs>
              <w:spacing w:after="160" w:line="259" w:lineRule="auto"/>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cuprinde  puțin activitățile obligatorii?</w:t>
            </w:r>
          </w:p>
          <w:p w14:paraId="7CC145AD" w14:textId="77777777" w:rsidR="0006778F" w:rsidRPr="00760153"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tc>
        <w:tc>
          <w:tcPr>
            <w:tcW w:w="4920" w:type="dxa"/>
          </w:tcPr>
          <w:p w14:paraId="1D9B03D2" w14:textId="15B4EBD8" w:rsidR="0006778F" w:rsidRPr="00760153" w:rsidRDefault="0006778F" w:rsidP="003130DE">
            <w:pPr>
              <w:tabs>
                <w:tab w:val="left" w:pos="-540"/>
              </w:tabs>
              <w:ind w:right="4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 xml:space="preserve">Proiectul cuprinde activitățile </w:t>
            </w:r>
            <w:r w:rsidR="00F44D89">
              <w:rPr>
                <w:rFonts w:ascii="Trebuchet MS" w:eastAsia="Calibri" w:hAnsi="Trebuchet MS" w:cs="Times New Roman"/>
                <w:color w:val="1F3864" w:themeColor="accent1" w:themeShade="80"/>
                <w:w w:val="105"/>
                <w:lang w:val="ro-RO"/>
              </w:rPr>
              <w:t>obligatorii</w:t>
            </w:r>
            <w:r w:rsidRPr="00760153">
              <w:rPr>
                <w:rFonts w:ascii="Trebuchet MS" w:eastAsia="Calibri" w:hAnsi="Trebuchet MS" w:cs="Times New Roman"/>
                <w:color w:val="1F3864" w:themeColor="accent1" w:themeShade="80"/>
                <w:w w:val="105"/>
                <w:lang w:val="ro-RO"/>
              </w:rPr>
              <w:t>, prevăzute în Ghidul Solicitantului– Condiții Specifice</w:t>
            </w:r>
            <w:r w:rsidR="00B14D55">
              <w:rPr>
                <w:rFonts w:ascii="Trebuchet MS" w:eastAsia="Calibri" w:hAnsi="Trebuchet MS" w:cs="Times New Roman"/>
                <w:color w:val="1F3864" w:themeColor="accent1" w:themeShade="80"/>
                <w:w w:val="105"/>
                <w:lang w:val="ro-RO"/>
              </w:rPr>
              <w:t xml:space="preserve"> in functie de componetele de interventie vizate</w:t>
            </w:r>
            <w:r w:rsidRPr="00760153">
              <w:rPr>
                <w:rFonts w:ascii="Trebuchet MS" w:eastAsia="Calibri" w:hAnsi="Trebuchet MS" w:cs="Times New Roman"/>
                <w:color w:val="1F3864" w:themeColor="accent1" w:themeShade="80"/>
                <w:w w:val="105"/>
                <w:lang w:val="ro-RO"/>
              </w:rPr>
              <w:tab/>
            </w:r>
            <w:r w:rsidRPr="00760153">
              <w:rPr>
                <w:rFonts w:ascii="Trebuchet MS" w:eastAsia="Calibri" w:hAnsi="Trebuchet MS" w:cs="Times New Roman"/>
                <w:color w:val="1F3864" w:themeColor="accent1" w:themeShade="80"/>
                <w:w w:val="105"/>
                <w:lang w:val="ro-RO"/>
              </w:rPr>
              <w:tab/>
            </w:r>
          </w:p>
        </w:tc>
        <w:tc>
          <w:tcPr>
            <w:tcW w:w="1317" w:type="dxa"/>
          </w:tcPr>
          <w:p w14:paraId="5EEE606F" w14:textId="77777777" w:rsidR="0006778F" w:rsidRPr="00760153" w:rsidRDefault="0006778F" w:rsidP="003130DE">
            <w:pPr>
              <w:tabs>
                <w:tab w:val="left" w:pos="-540"/>
              </w:tabs>
              <w:ind w:right="-630"/>
              <w:jc w:val="both"/>
              <w:rPr>
                <w:rFonts w:ascii="Trebuchet MS" w:eastAsia="Calibri" w:hAnsi="Trebuchet MS" w:cs="Times New Roman"/>
                <w:color w:val="1F3864" w:themeColor="accent1" w:themeShade="80"/>
                <w:w w:val="105"/>
                <w:lang w:val="ro-RO"/>
              </w:rPr>
            </w:pPr>
          </w:p>
        </w:tc>
      </w:tr>
      <w:tr w:rsidR="00760153" w:rsidRPr="00760153" w14:paraId="3037E2BD" w14:textId="77777777" w:rsidTr="003130DE">
        <w:tc>
          <w:tcPr>
            <w:tcW w:w="470" w:type="dxa"/>
          </w:tcPr>
          <w:p w14:paraId="79AC9898" w14:textId="7A7A86EB"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5</w:t>
            </w:r>
          </w:p>
        </w:tc>
        <w:tc>
          <w:tcPr>
            <w:tcW w:w="2768" w:type="dxa"/>
          </w:tcPr>
          <w:p w14:paraId="6D670916" w14:textId="43840924" w:rsidR="00755369" w:rsidRPr="00760153" w:rsidRDefault="00755369"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respectă promovarea principiilor orizontale din PoIDS</w:t>
            </w:r>
          </w:p>
        </w:tc>
        <w:tc>
          <w:tcPr>
            <w:tcW w:w="4920" w:type="dxa"/>
          </w:tcPr>
          <w:p w14:paraId="24D4733A" w14:textId="3B5F7C93" w:rsidR="00755369" w:rsidRPr="00760153" w:rsidRDefault="00755369"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contribuie prin activitățile propuse la promovarea principiilor orizontale din PoIDS, conform specificațiilor din Ghidului Solicitantului: egalitate de gen / nediscriminarea (pe criterii de sex, rasă sau origine etnică, religie sau convingeri, dizabilitate, vârstă sau orientare sexuală)  / accesibilitatea pentru persoanele cu dizabilități</w:t>
            </w:r>
          </w:p>
        </w:tc>
        <w:tc>
          <w:tcPr>
            <w:tcW w:w="1317" w:type="dxa"/>
          </w:tcPr>
          <w:p w14:paraId="055530A5" w14:textId="77777777"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tr w:rsidR="00760153" w:rsidRPr="00760153" w14:paraId="461F61CF" w14:textId="77777777" w:rsidTr="003130DE">
        <w:tc>
          <w:tcPr>
            <w:tcW w:w="470" w:type="dxa"/>
          </w:tcPr>
          <w:p w14:paraId="0B1F1D88" w14:textId="75240BEB"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6</w:t>
            </w:r>
          </w:p>
        </w:tc>
        <w:tc>
          <w:tcPr>
            <w:tcW w:w="2768" w:type="dxa"/>
          </w:tcPr>
          <w:p w14:paraId="43BC9843" w14:textId="6B99B562" w:rsidR="00755369" w:rsidRPr="00760153" w:rsidRDefault="00755369"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respectă prevederile Cartei drepturilor fundamentale a Uniunii Europene</w:t>
            </w:r>
          </w:p>
        </w:tc>
        <w:tc>
          <w:tcPr>
            <w:tcW w:w="4920" w:type="dxa"/>
          </w:tcPr>
          <w:p w14:paraId="352A2279" w14:textId="02D06904" w:rsidR="00755369" w:rsidRPr="00760153" w:rsidRDefault="00755369" w:rsidP="00760153">
            <w:pPr>
              <w:tabs>
                <w:tab w:val="left" w:pos="-540"/>
              </w:tabs>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Cererea de finanțare are anexată Declaratia privind conformitatea cu prevederile Cartei drepturilor fundamentale ale Uniunii Europene</w:t>
            </w:r>
          </w:p>
        </w:tc>
        <w:tc>
          <w:tcPr>
            <w:tcW w:w="1317" w:type="dxa"/>
          </w:tcPr>
          <w:p w14:paraId="2C795785" w14:textId="77777777"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tr w:rsidR="00760153" w:rsidRPr="00760153" w14:paraId="540352FC" w14:textId="77777777" w:rsidTr="003130DE">
        <w:tc>
          <w:tcPr>
            <w:tcW w:w="470" w:type="dxa"/>
          </w:tcPr>
          <w:p w14:paraId="37C039F7" w14:textId="35C2CDA6"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7</w:t>
            </w:r>
          </w:p>
        </w:tc>
        <w:tc>
          <w:tcPr>
            <w:tcW w:w="2768" w:type="dxa"/>
          </w:tcPr>
          <w:p w14:paraId="647C7A38" w14:textId="56206F70" w:rsidR="00755369" w:rsidRPr="00760153" w:rsidRDefault="00755369" w:rsidP="00760153">
            <w:pPr>
              <w:tabs>
                <w:tab w:val="left" w:pos="-540"/>
              </w:tabs>
              <w:spacing w:after="160" w:line="259" w:lineRule="auto"/>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Proiectul respectă prevederile Convenției ONU privind drepturile persoanelor cu handicap</w:t>
            </w:r>
          </w:p>
        </w:tc>
        <w:tc>
          <w:tcPr>
            <w:tcW w:w="4920" w:type="dxa"/>
          </w:tcPr>
          <w:p w14:paraId="16699DBF" w14:textId="355FEE09" w:rsidR="00755369" w:rsidRPr="00760153" w:rsidRDefault="00755369" w:rsidP="00760153">
            <w:pPr>
              <w:tabs>
                <w:tab w:val="left" w:pos="-540"/>
              </w:tabs>
              <w:ind w:right="72"/>
              <w:jc w:val="both"/>
              <w:rPr>
                <w:rFonts w:ascii="Trebuchet MS" w:eastAsia="Calibri" w:hAnsi="Trebuchet MS" w:cs="Times New Roman"/>
                <w:color w:val="1F3864" w:themeColor="accent1" w:themeShade="80"/>
                <w:w w:val="105"/>
                <w:lang w:val="ro-RO"/>
              </w:rPr>
            </w:pPr>
            <w:r w:rsidRPr="00760153">
              <w:rPr>
                <w:rFonts w:ascii="Trebuchet MS" w:eastAsia="Calibri" w:hAnsi="Trebuchet MS" w:cs="Times New Roman"/>
                <w:color w:val="1F3864" w:themeColor="accent1" w:themeShade="80"/>
                <w:w w:val="105"/>
                <w:lang w:val="ro-RO"/>
              </w:rPr>
              <w:t>Cererea de finanțare are anexată Declarația  privind respectarea Convenției Națiunilor Unite privind drepturile persoanelor cu dizabilități</w:t>
            </w:r>
          </w:p>
        </w:tc>
        <w:tc>
          <w:tcPr>
            <w:tcW w:w="1317" w:type="dxa"/>
          </w:tcPr>
          <w:p w14:paraId="6CD57556" w14:textId="77777777" w:rsidR="00755369" w:rsidRPr="00760153" w:rsidRDefault="00755369" w:rsidP="00755369">
            <w:pPr>
              <w:tabs>
                <w:tab w:val="left" w:pos="-540"/>
              </w:tabs>
              <w:ind w:right="-630"/>
              <w:jc w:val="both"/>
              <w:rPr>
                <w:rFonts w:ascii="Trebuchet MS" w:eastAsia="Calibri" w:hAnsi="Trebuchet MS" w:cs="Times New Roman"/>
                <w:color w:val="1F3864" w:themeColor="accent1" w:themeShade="80"/>
                <w:w w:val="105"/>
                <w:lang w:val="ro-RO"/>
              </w:rPr>
            </w:pPr>
          </w:p>
        </w:tc>
      </w:tr>
      <w:bookmarkEnd w:id="2"/>
      <w:bookmarkEnd w:id="4"/>
    </w:tbl>
    <w:p w14:paraId="7F597977" w14:textId="77777777" w:rsidR="00841AA7" w:rsidRPr="00760153" w:rsidRDefault="00841AA7" w:rsidP="0006778F">
      <w:pPr>
        <w:rPr>
          <w:color w:val="1F3864" w:themeColor="accent1" w:themeShade="80"/>
        </w:rPr>
      </w:pPr>
    </w:p>
    <w:sectPr w:rsidR="00841AA7" w:rsidRPr="00760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4D13"/>
    <w:multiLevelType w:val="hybridMultilevel"/>
    <w:tmpl w:val="067AE1C8"/>
    <w:lvl w:ilvl="0" w:tplc="826E48B8">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61463"/>
    <w:multiLevelType w:val="hybridMultilevel"/>
    <w:tmpl w:val="791ED04A"/>
    <w:lvl w:ilvl="0" w:tplc="27CAD55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F6743E"/>
    <w:multiLevelType w:val="hybridMultilevel"/>
    <w:tmpl w:val="63A8925E"/>
    <w:lvl w:ilvl="0" w:tplc="42E24E2C">
      <w:numFmt w:val="bullet"/>
      <w:lvlText w:val="-"/>
      <w:lvlJc w:val="left"/>
      <w:pPr>
        <w:ind w:left="1069" w:hanging="360"/>
      </w:pPr>
      <w:rPr>
        <w:rFonts w:ascii="Trebuchet MS" w:eastAsia="Calibri" w:hAnsi="Trebuchet M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11523576"/>
    <w:multiLevelType w:val="hybridMultilevel"/>
    <w:tmpl w:val="69FC4BB8"/>
    <w:lvl w:ilvl="0" w:tplc="D32E1A9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505B8"/>
    <w:multiLevelType w:val="hybridMultilevel"/>
    <w:tmpl w:val="D1264294"/>
    <w:lvl w:ilvl="0" w:tplc="976EEAE4">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C556E"/>
    <w:multiLevelType w:val="hybridMultilevel"/>
    <w:tmpl w:val="30CC4B40"/>
    <w:lvl w:ilvl="0" w:tplc="B20AB43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86458D"/>
    <w:multiLevelType w:val="multilevel"/>
    <w:tmpl w:val="D2048C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D207D3"/>
    <w:multiLevelType w:val="hybridMultilevel"/>
    <w:tmpl w:val="B58C36F6"/>
    <w:lvl w:ilvl="0" w:tplc="265AA75C">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0265F7"/>
    <w:multiLevelType w:val="hybridMultilevel"/>
    <w:tmpl w:val="0E7277A0"/>
    <w:lvl w:ilvl="0" w:tplc="79CC188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B16049"/>
    <w:multiLevelType w:val="hybridMultilevel"/>
    <w:tmpl w:val="5A6410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297B0E"/>
    <w:multiLevelType w:val="hybridMultilevel"/>
    <w:tmpl w:val="3ADED826"/>
    <w:lvl w:ilvl="0" w:tplc="F162C4E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FB3F4F"/>
    <w:multiLevelType w:val="multilevel"/>
    <w:tmpl w:val="DD267EB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27422C"/>
    <w:multiLevelType w:val="hybridMultilevel"/>
    <w:tmpl w:val="343EAD90"/>
    <w:lvl w:ilvl="0" w:tplc="094C205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9427647">
    <w:abstractNumId w:val="3"/>
  </w:num>
  <w:num w:numId="2" w16cid:durableId="536432193">
    <w:abstractNumId w:val="8"/>
  </w:num>
  <w:num w:numId="3" w16cid:durableId="2076925226">
    <w:abstractNumId w:val="5"/>
  </w:num>
  <w:num w:numId="4" w16cid:durableId="1537624669">
    <w:abstractNumId w:val="0"/>
  </w:num>
  <w:num w:numId="5" w16cid:durableId="1754888589">
    <w:abstractNumId w:val="11"/>
  </w:num>
  <w:num w:numId="6" w16cid:durableId="1935898935">
    <w:abstractNumId w:val="13"/>
  </w:num>
  <w:num w:numId="7" w16cid:durableId="981467206">
    <w:abstractNumId w:val="13"/>
  </w:num>
  <w:num w:numId="8" w16cid:durableId="1949044713">
    <w:abstractNumId w:val="7"/>
  </w:num>
  <w:num w:numId="9" w16cid:durableId="1949696128">
    <w:abstractNumId w:val="6"/>
  </w:num>
  <w:num w:numId="10" w16cid:durableId="16446946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04947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373442">
    <w:abstractNumId w:val="1"/>
  </w:num>
  <w:num w:numId="13" w16cid:durableId="833838777">
    <w:abstractNumId w:val="12"/>
  </w:num>
  <w:num w:numId="14" w16cid:durableId="1916161094">
    <w:abstractNumId w:val="9"/>
  </w:num>
  <w:num w:numId="15" w16cid:durableId="163932487">
    <w:abstractNumId w:val="2"/>
  </w:num>
  <w:num w:numId="16" w16cid:durableId="1010185000">
    <w:abstractNumId w:val="4"/>
  </w:num>
  <w:num w:numId="17" w16cid:durableId="3640609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8F"/>
    <w:rsid w:val="00016C34"/>
    <w:rsid w:val="0006778F"/>
    <w:rsid w:val="000E327B"/>
    <w:rsid w:val="001F6A75"/>
    <w:rsid w:val="002C1723"/>
    <w:rsid w:val="002F7168"/>
    <w:rsid w:val="00336C3A"/>
    <w:rsid w:val="00391D33"/>
    <w:rsid w:val="0045520D"/>
    <w:rsid w:val="004910D0"/>
    <w:rsid w:val="00615D4D"/>
    <w:rsid w:val="006952AF"/>
    <w:rsid w:val="00755369"/>
    <w:rsid w:val="00760153"/>
    <w:rsid w:val="00782C06"/>
    <w:rsid w:val="00841AA7"/>
    <w:rsid w:val="008614FD"/>
    <w:rsid w:val="00862B7F"/>
    <w:rsid w:val="008A22B9"/>
    <w:rsid w:val="009C5CAA"/>
    <w:rsid w:val="00A1126F"/>
    <w:rsid w:val="00A5145A"/>
    <w:rsid w:val="00A63985"/>
    <w:rsid w:val="00AA30A0"/>
    <w:rsid w:val="00B14D55"/>
    <w:rsid w:val="00B25ACD"/>
    <w:rsid w:val="00B532D9"/>
    <w:rsid w:val="00C76A0B"/>
    <w:rsid w:val="00C8790B"/>
    <w:rsid w:val="00CC19BD"/>
    <w:rsid w:val="00D94DEF"/>
    <w:rsid w:val="00E62B4F"/>
    <w:rsid w:val="00ED67F6"/>
    <w:rsid w:val="00F052B9"/>
    <w:rsid w:val="00F400A6"/>
    <w:rsid w:val="00F44D89"/>
    <w:rsid w:val="00F73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B2C8"/>
  <w15:chartTrackingRefBased/>
  <w15:docId w15:val="{56A9E0A0-702B-4833-AD8B-AFD0F7D62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Capitol"/>
    <w:qFormat/>
    <w:rsid w:val="0006778F"/>
    <w:pPr>
      <w:spacing w:after="200" w:line="276" w:lineRule="auto"/>
    </w:pPr>
    <w:rPr>
      <w:kern w:val="0"/>
      <w14:ligatures w14:val="none"/>
    </w:rPr>
  </w:style>
  <w:style w:type="paragraph" w:styleId="Heading1">
    <w:name w:val="heading 1"/>
    <w:basedOn w:val="Normal"/>
    <w:next w:val="Normal"/>
    <w:link w:val="Heading1Char"/>
    <w:uiPriority w:val="9"/>
    <w:qFormat/>
    <w:rsid w:val="008A22B9"/>
    <w:pPr>
      <w:keepNext/>
      <w:keepLines/>
      <w:numPr>
        <w:numId w:val="13"/>
      </w:numPr>
      <w:spacing w:before="240" w:after="0"/>
      <w:outlineLvl w:val="0"/>
    </w:pPr>
    <w:rPr>
      <w:rFonts w:eastAsiaTheme="majorEastAsia" w:cstheme="majorBidi"/>
      <w:kern w:val="2"/>
      <w:szCs w:val="32"/>
      <w14:ligatures w14:val="standardContextual"/>
    </w:rPr>
  </w:style>
  <w:style w:type="paragraph" w:styleId="Heading2">
    <w:name w:val="heading 2"/>
    <w:aliases w:val="Subcapitol"/>
    <w:basedOn w:val="Normal"/>
    <w:next w:val="Normal"/>
    <w:link w:val="Heading2Char"/>
    <w:uiPriority w:val="9"/>
    <w:unhideWhenUsed/>
    <w:qFormat/>
    <w:rsid w:val="00615D4D"/>
    <w:pPr>
      <w:keepNext/>
      <w:keepLines/>
      <w:tabs>
        <w:tab w:val="num" w:pos="720"/>
      </w:tabs>
      <w:spacing w:before="40" w:after="0"/>
      <w:ind w:left="720" w:hanging="720"/>
      <w:outlineLvl w:val="1"/>
    </w:pPr>
    <w:rPr>
      <w:rFonts w:eastAsiaTheme="majorEastAsia" w:cstheme="majorBidi"/>
      <w:kern w:val="2"/>
      <w:szCs w:val="26"/>
      <w14:ligatures w14:val="standardContextual"/>
    </w:rPr>
  </w:style>
  <w:style w:type="paragraph" w:styleId="Heading3">
    <w:name w:val="heading 3"/>
    <w:aliases w:val="Sub-sub-capitol"/>
    <w:basedOn w:val="Normal"/>
    <w:next w:val="Normal"/>
    <w:link w:val="Heading3Char"/>
    <w:uiPriority w:val="9"/>
    <w:semiHidden/>
    <w:unhideWhenUsed/>
    <w:qFormat/>
    <w:rsid w:val="00615D4D"/>
    <w:pPr>
      <w:keepNext/>
      <w:keepLines/>
      <w:tabs>
        <w:tab w:val="num" w:pos="720"/>
      </w:tabs>
      <w:spacing w:before="40" w:after="0"/>
      <w:ind w:left="720" w:hanging="720"/>
      <w:outlineLvl w:val="2"/>
    </w:pPr>
    <w:rPr>
      <w:rFonts w:eastAsiaTheme="majorEastAsia" w:cstheme="majorBidi"/>
      <w:kern w:val="2"/>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2B9"/>
    <w:rPr>
      <w:rFonts w:ascii="Trebuchet MS" w:eastAsiaTheme="majorEastAsia" w:hAnsi="Trebuchet MS" w:cstheme="majorBidi"/>
      <w:szCs w:val="32"/>
    </w:rPr>
  </w:style>
  <w:style w:type="character" w:customStyle="1" w:styleId="Heading2Char">
    <w:name w:val="Heading 2 Char"/>
    <w:aliases w:val="Subcapitol Char"/>
    <w:basedOn w:val="DefaultParagraphFont"/>
    <w:link w:val="Heading2"/>
    <w:uiPriority w:val="9"/>
    <w:rsid w:val="00615D4D"/>
    <w:rPr>
      <w:rFonts w:ascii="Trebuchet MS" w:eastAsiaTheme="majorEastAsia" w:hAnsi="Trebuchet MS" w:cstheme="majorBidi"/>
      <w:sz w:val="24"/>
      <w:szCs w:val="26"/>
    </w:rPr>
  </w:style>
  <w:style w:type="character" w:customStyle="1" w:styleId="Heading3Char">
    <w:name w:val="Heading 3 Char"/>
    <w:aliases w:val="Sub-sub-capitol Char"/>
    <w:basedOn w:val="DefaultParagraphFont"/>
    <w:link w:val="Heading3"/>
    <w:uiPriority w:val="9"/>
    <w:semiHidden/>
    <w:rsid w:val="00615D4D"/>
    <w:rPr>
      <w:rFonts w:ascii="Trebuchet MS" w:eastAsiaTheme="majorEastAsia" w:hAnsi="Trebuchet MS" w:cstheme="majorBidi"/>
      <w:szCs w:val="24"/>
    </w:rPr>
  </w:style>
  <w:style w:type="table" w:styleId="TableGrid">
    <w:name w:val="Table Grid"/>
    <w:basedOn w:val="TableNormal"/>
    <w:uiPriority w:val="59"/>
    <w:rsid w:val="000677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06778F"/>
    <w:pPr>
      <w:ind w:left="720"/>
      <w:contextualSpacing/>
    </w:pPr>
  </w:style>
  <w:style w:type="paragraph" w:styleId="Revision">
    <w:name w:val="Revision"/>
    <w:hidden/>
    <w:uiPriority w:val="99"/>
    <w:semiHidden/>
    <w:rsid w:val="00C76A0B"/>
    <w:pPr>
      <w:spacing w:after="0" w:line="240" w:lineRule="auto"/>
    </w:pPr>
    <w:rPr>
      <w:kern w:val="0"/>
      <w14:ligatures w14:val="none"/>
    </w:r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45520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1176</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Marius Lupulese</cp:lastModifiedBy>
  <cp:revision>7</cp:revision>
  <dcterms:created xsi:type="dcterms:W3CDTF">2023-07-28T11:49:00Z</dcterms:created>
  <dcterms:modified xsi:type="dcterms:W3CDTF">2024-03-13T07:58:00Z</dcterms:modified>
</cp:coreProperties>
</file>